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42CA" w14:textId="77777777" w:rsidR="00567DB1" w:rsidRDefault="00567DB1">
      <w:pPr>
        <w:pBdr>
          <w:top w:val="nil"/>
          <w:left w:val="nil"/>
          <w:bottom w:val="nil"/>
          <w:right w:val="nil"/>
          <w:between w:val="nil"/>
        </w:pBdr>
        <w:spacing w:after="0"/>
        <w:rPr>
          <w:color w:val="000000"/>
        </w:rPr>
      </w:pPr>
      <w:bookmarkStart w:id="0" w:name="_heading=h.gjdgxs" w:colFirst="0" w:colLast="0"/>
      <w:bookmarkEnd w:id="0"/>
    </w:p>
    <w:p w14:paraId="30FD22AA" w14:textId="77777777" w:rsidR="00567DB1" w:rsidRDefault="00567DB1">
      <w:pPr>
        <w:pBdr>
          <w:top w:val="nil"/>
          <w:left w:val="nil"/>
          <w:bottom w:val="nil"/>
          <w:right w:val="nil"/>
          <w:between w:val="nil"/>
        </w:pBdr>
        <w:spacing w:after="0"/>
        <w:rPr>
          <w:color w:val="000000"/>
          <w:sz w:val="28"/>
          <w:szCs w:val="28"/>
        </w:rPr>
      </w:pPr>
    </w:p>
    <w:p w14:paraId="7A27A115" w14:textId="77777777" w:rsidR="00567DB1" w:rsidRDefault="00567DB1">
      <w:pPr>
        <w:pBdr>
          <w:top w:val="nil"/>
          <w:left w:val="nil"/>
          <w:bottom w:val="nil"/>
          <w:right w:val="nil"/>
          <w:between w:val="nil"/>
        </w:pBdr>
        <w:spacing w:after="0"/>
        <w:rPr>
          <w:color w:val="000000"/>
          <w:sz w:val="28"/>
          <w:szCs w:val="28"/>
        </w:rPr>
      </w:pPr>
    </w:p>
    <w:p w14:paraId="5D5B8DDA" w14:textId="77777777" w:rsidR="00567DB1" w:rsidRDefault="002177EC">
      <w:pPr>
        <w:spacing w:after="0"/>
        <w:jc w:val="center"/>
        <w:rPr>
          <w:color w:val="000000"/>
          <w:sz w:val="28"/>
          <w:szCs w:val="28"/>
        </w:rPr>
      </w:pPr>
      <w:r>
        <w:rPr>
          <w:noProof/>
        </w:rPr>
        <w:drawing>
          <wp:anchor distT="0" distB="0" distL="114300" distR="114300" simplePos="0" relativeHeight="251658240" behindDoc="0" locked="0" layoutInCell="1" hidden="0" allowOverlap="1" wp14:anchorId="55E521F8" wp14:editId="5254F817">
            <wp:simplePos x="0" y="0"/>
            <wp:positionH relativeFrom="column">
              <wp:posOffset>2346959</wp:posOffset>
            </wp:positionH>
            <wp:positionV relativeFrom="paragraph">
              <wp:posOffset>31750</wp:posOffset>
            </wp:positionV>
            <wp:extent cx="1482808" cy="807306"/>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82808" cy="807306"/>
                    </a:xfrm>
                    <a:prstGeom prst="rect">
                      <a:avLst/>
                    </a:prstGeom>
                    <a:ln/>
                  </pic:spPr>
                </pic:pic>
              </a:graphicData>
            </a:graphic>
          </wp:anchor>
        </w:drawing>
      </w:r>
    </w:p>
    <w:p w14:paraId="1C5DBB57" w14:textId="77777777" w:rsidR="00567DB1" w:rsidRDefault="00567DB1">
      <w:pPr>
        <w:spacing w:after="0"/>
        <w:jc w:val="center"/>
        <w:rPr>
          <w:color w:val="000000"/>
          <w:sz w:val="28"/>
          <w:szCs w:val="28"/>
        </w:rPr>
      </w:pPr>
    </w:p>
    <w:p w14:paraId="52E8B599" w14:textId="77777777" w:rsidR="00567DB1" w:rsidRDefault="00567DB1">
      <w:pPr>
        <w:spacing w:after="0"/>
        <w:jc w:val="center"/>
        <w:rPr>
          <w:color w:val="000000"/>
          <w:sz w:val="28"/>
          <w:szCs w:val="28"/>
        </w:rPr>
      </w:pPr>
    </w:p>
    <w:p w14:paraId="448B82E0" w14:textId="77777777" w:rsidR="00567DB1" w:rsidRDefault="00567DB1">
      <w:pPr>
        <w:spacing w:after="0"/>
        <w:jc w:val="center"/>
        <w:rPr>
          <w:color w:val="000000"/>
          <w:sz w:val="28"/>
          <w:szCs w:val="28"/>
        </w:rPr>
      </w:pPr>
    </w:p>
    <w:p w14:paraId="3728B27A" w14:textId="77777777" w:rsidR="00567DB1" w:rsidRDefault="002177EC">
      <w:pPr>
        <w:spacing w:after="0"/>
        <w:jc w:val="center"/>
        <w:rPr>
          <w:color w:val="000000"/>
          <w:sz w:val="28"/>
          <w:szCs w:val="28"/>
        </w:rPr>
      </w:pPr>
      <w:r>
        <w:rPr>
          <w:color w:val="000000"/>
          <w:sz w:val="28"/>
          <w:szCs w:val="28"/>
        </w:rPr>
        <w:t>Termat e Referencës (ToR)</w:t>
      </w:r>
    </w:p>
    <w:p w14:paraId="2F53C9C3" w14:textId="77777777" w:rsidR="00567DB1" w:rsidRDefault="002177EC">
      <w:pPr>
        <w:pBdr>
          <w:top w:val="nil"/>
          <w:left w:val="nil"/>
          <w:bottom w:val="nil"/>
          <w:right w:val="nil"/>
          <w:between w:val="nil"/>
        </w:pBdr>
        <w:spacing w:after="0"/>
        <w:jc w:val="center"/>
        <w:rPr>
          <w:color w:val="000000"/>
          <w:sz w:val="24"/>
          <w:szCs w:val="24"/>
        </w:rPr>
      </w:pPr>
      <w:r>
        <w:rPr>
          <w:color w:val="000000"/>
          <w:sz w:val="24"/>
          <w:szCs w:val="24"/>
        </w:rPr>
        <w:t>Nr. i referenc</w:t>
      </w:r>
      <w:r>
        <w:rPr>
          <w:color w:val="000000"/>
        </w:rPr>
        <w:t>ë</w:t>
      </w:r>
      <w:r>
        <w:rPr>
          <w:color w:val="000000"/>
          <w:sz w:val="24"/>
          <w:szCs w:val="24"/>
        </w:rPr>
        <w:t>s s</w:t>
      </w:r>
      <w:r>
        <w:rPr>
          <w:color w:val="000000"/>
        </w:rPr>
        <w:t>ë</w:t>
      </w:r>
      <w:r>
        <w:rPr>
          <w:color w:val="000000"/>
          <w:sz w:val="24"/>
          <w:szCs w:val="24"/>
        </w:rPr>
        <w:t xml:space="preserve"> publikimit: 0</w:t>
      </w:r>
      <w:r>
        <w:rPr>
          <w:sz w:val="24"/>
          <w:szCs w:val="24"/>
        </w:rPr>
        <w:t>5</w:t>
      </w:r>
      <w:r>
        <w:rPr>
          <w:color w:val="000000"/>
          <w:sz w:val="24"/>
          <w:szCs w:val="24"/>
        </w:rPr>
        <w:t>/2019 – C4K</w:t>
      </w:r>
    </w:p>
    <w:p w14:paraId="3C7016B5" w14:textId="77777777" w:rsidR="00567DB1" w:rsidRDefault="00567DB1">
      <w:pPr>
        <w:spacing w:after="120"/>
        <w:jc w:val="center"/>
        <w:rPr>
          <w:color w:val="000000"/>
        </w:rPr>
      </w:pPr>
    </w:p>
    <w:p w14:paraId="3323E191" w14:textId="77777777" w:rsidR="00567DB1" w:rsidRDefault="002177EC">
      <w:pPr>
        <w:pBdr>
          <w:top w:val="nil"/>
          <w:left w:val="nil"/>
          <w:bottom w:val="nil"/>
          <w:right w:val="nil"/>
          <w:between w:val="nil"/>
        </w:pBdr>
        <w:spacing w:after="0"/>
        <w:jc w:val="center"/>
        <w:rPr>
          <w:color w:val="000000"/>
        </w:rPr>
      </w:pPr>
      <w:r>
        <w:t>Mentor për Code4Kamenica Online Hackathon</w:t>
      </w:r>
    </w:p>
    <w:p w14:paraId="029139EB" w14:textId="77777777" w:rsidR="00567DB1" w:rsidRDefault="002177EC">
      <w:pPr>
        <w:pStyle w:val="Heading1"/>
        <w:numPr>
          <w:ilvl w:val="0"/>
          <w:numId w:val="1"/>
        </w:numPr>
        <w:spacing w:after="120"/>
        <w:jc w:val="left"/>
        <w:rPr>
          <w:color w:val="000000"/>
          <w:sz w:val="22"/>
          <w:szCs w:val="22"/>
        </w:rPr>
      </w:pPr>
      <w:bookmarkStart w:id="1" w:name="_heading=h.30j0zll" w:colFirst="0" w:colLast="0"/>
      <w:bookmarkEnd w:id="1"/>
      <w:r>
        <w:rPr>
          <w:color w:val="000000"/>
          <w:sz w:val="22"/>
          <w:szCs w:val="22"/>
        </w:rPr>
        <w:t>Code 4</w:t>
      </w:r>
      <w:r>
        <w:rPr>
          <w:color w:val="000000"/>
          <w:sz w:val="22"/>
          <w:szCs w:val="22"/>
        </w:rPr>
        <w:tab/>
        <w:t>Kamenica</w:t>
      </w:r>
      <w:r>
        <w:rPr>
          <w:color w:val="000000"/>
          <w:sz w:val="22"/>
          <w:szCs w:val="22"/>
        </w:rPr>
        <w:br/>
      </w:r>
    </w:p>
    <w:p w14:paraId="18678F5E" w14:textId="7FCBDE3C" w:rsidR="00567DB1" w:rsidRDefault="002177EC">
      <w:pPr>
        <w:pBdr>
          <w:top w:val="nil"/>
          <w:left w:val="nil"/>
          <w:bottom w:val="nil"/>
          <w:right w:val="nil"/>
          <w:between w:val="nil"/>
        </w:pBdr>
        <w:jc w:val="both"/>
      </w:pPr>
      <w:r>
        <w:rPr>
          <w:color w:val="000000"/>
        </w:rPr>
        <w:t>Open Data Kosova është duke zbatuar projektin e titulluar "Code 4 Kamenica" në kuadër të  Programit Rajonal për Demokracinë Lokale në Ballkanin Perëndimor - ReLOaD i cili zbatohet nga UNDP dhe financohet nga Bashkimi Evropian, me në një periudhë 9 muaj në qytetin e Kamenicës. Ky projekt ka qëllim të nxitjes së zhvillimit të aftësive të TIK-ut tek të rinjtë në fazat e hershme të arsimit duke nxitur përdorimin e teknologjive të reja dhe qasje praktike për të mësuar ndërsa inkurajon edhe qytetarinë aktive. G</w:t>
      </w:r>
      <w:r>
        <w:t xml:space="preserve">jithsej 41 të rinjë kanë marr pjesë në 18 orë trajnim për zhvillim të web ku kanë fituar aftësi bazike në këtë fushë. Aktiviteti i ardhshëm i projektit është Code4Kamenica Online Hackathon ku të gjithë të rinjtë do të mblidhen dhe do të kenë mundësinë të punojnë ne një zgjidhje digjitale që adreson një problem të identifikuar nga Komuna e Kamenicës. 41 të rinjtë do të ndahen në grupe prej 5-6 personave dhe do të mentorohen nga mentorët rreth dizajnimit dhe zhvillimit të zgjidhjes digjitale përgjatë hackathon që do të zgjat 3 ditë. </w:t>
      </w:r>
    </w:p>
    <w:p w14:paraId="57F3B5F5" w14:textId="4B19AF76" w:rsidR="00567DB1" w:rsidRDefault="002177EC">
      <w:pPr>
        <w:pBdr>
          <w:top w:val="nil"/>
          <w:left w:val="nil"/>
          <w:bottom w:val="nil"/>
          <w:right w:val="nil"/>
          <w:between w:val="nil"/>
        </w:pBdr>
        <w:jc w:val="both"/>
      </w:pPr>
      <w:r>
        <w:t>3 grupet me performan</w:t>
      </w:r>
      <w:r>
        <w:rPr>
          <w:highlight w:val="white"/>
        </w:rPr>
        <w:t xml:space="preserve">ën më të mirë do të marrin </w:t>
      </w:r>
      <w:r w:rsidR="00FC4A50">
        <w:rPr>
          <w:highlight w:val="white"/>
        </w:rPr>
        <w:t>çmime</w:t>
      </w:r>
      <w:r>
        <w:rPr>
          <w:highlight w:val="white"/>
        </w:rPr>
        <w:t xml:space="preserve"> që do të mund të investojnë në Komunën e Kamenicës. Grupi i parë </w:t>
      </w:r>
      <w:r w:rsidR="00FC4A50">
        <w:rPr>
          <w:highlight w:val="white"/>
        </w:rPr>
        <w:t xml:space="preserve">gjithashtu </w:t>
      </w:r>
      <w:r>
        <w:rPr>
          <w:highlight w:val="white"/>
        </w:rPr>
        <w:t xml:space="preserve">do të jetë përgjegjës për zhvillimin e platformës deri në fund për një periudhë një mujore nën udhëheqjen e njërit prej trajnerëve. </w:t>
      </w:r>
    </w:p>
    <w:p w14:paraId="3B985A4F" w14:textId="77777777" w:rsidR="00567DB1" w:rsidRDefault="002177EC">
      <w:pPr>
        <w:numPr>
          <w:ilvl w:val="0"/>
          <w:numId w:val="1"/>
        </w:numPr>
        <w:pBdr>
          <w:top w:val="nil"/>
          <w:left w:val="nil"/>
          <w:bottom w:val="nil"/>
          <w:right w:val="nil"/>
          <w:between w:val="nil"/>
        </w:pBdr>
        <w:jc w:val="both"/>
        <w:rPr>
          <w:b/>
          <w:color w:val="000000"/>
        </w:rPr>
      </w:pPr>
      <w:r>
        <w:rPr>
          <w:b/>
          <w:color w:val="000000"/>
        </w:rPr>
        <w:t xml:space="preserve">Rreth Open Data Kosovo </w:t>
      </w:r>
    </w:p>
    <w:p w14:paraId="5ECD6E86" w14:textId="77777777" w:rsidR="00567DB1" w:rsidRDefault="002177EC">
      <w:pPr>
        <w:jc w:val="both"/>
        <w:rPr>
          <w:color w:val="000000"/>
        </w:rPr>
      </w:pPr>
      <w:r>
        <w:rPr>
          <w:color w:val="000000"/>
        </w:rPr>
        <w:t>Open Data Kosovo është një organizatë joqeveritare e regjistruar në Ministrinë e Administratës Publike, 10000, Prishtinë, Kosovë më 09.10.2014. Open Data Kosovo është një organizatë jo-fitimprurëse, e cila përdor teknologjinë për të kontribuar në qeverisje të mirë, transparencë dhe llogaridhënie. Ne kontribuojmë për zhvillimin e një skene lokale dhe energjike të teknologjisë përmes angazhimit të të rinjve në përdorimin e teknologjive të reja që mundësojnë zgjidhjen e problemeve të çështjeve sociale. Open Data Kosovo ka hyrë në partneritet me organizata të mëdha lokale dhe ndërkombëtare, si Amnesty International, Departamenti Amerikan i Shtetit, UNDP, The Engine Room,</w:t>
      </w:r>
      <w:hyperlink r:id="rId9">
        <w:r>
          <w:rPr>
            <w:color w:val="000000"/>
          </w:rPr>
          <w:t xml:space="preserve"> </w:t>
        </w:r>
      </w:hyperlink>
      <w:r>
        <w:rPr>
          <w:color w:val="000000"/>
        </w:rPr>
        <w:t>Fondacioni ePaństwo dhe me shumë partner të tjerë për të prodhuar zgjidhje digjitale me ndikim në shoqëri.</w:t>
      </w:r>
    </w:p>
    <w:p w14:paraId="0A16051E" w14:textId="77777777" w:rsidR="00567DB1" w:rsidRDefault="002177EC">
      <w:pPr>
        <w:pStyle w:val="Heading1"/>
        <w:numPr>
          <w:ilvl w:val="0"/>
          <w:numId w:val="1"/>
        </w:numPr>
        <w:spacing w:after="120"/>
        <w:rPr>
          <w:color w:val="000000"/>
          <w:sz w:val="22"/>
          <w:szCs w:val="22"/>
        </w:rPr>
      </w:pPr>
      <w:bookmarkStart w:id="2" w:name="_heading=h.1fob9te" w:colFirst="0" w:colLast="0"/>
      <w:bookmarkEnd w:id="2"/>
      <w:r>
        <w:rPr>
          <w:color w:val="000000"/>
          <w:sz w:val="22"/>
          <w:szCs w:val="22"/>
        </w:rPr>
        <w:lastRenderedPageBreak/>
        <w:t xml:space="preserve">Objektivi i Termave të Referencës </w:t>
      </w:r>
    </w:p>
    <w:p w14:paraId="09CEFBBC" w14:textId="19759324" w:rsidR="00567DB1" w:rsidRDefault="002177EC">
      <w:pPr>
        <w:spacing w:after="0"/>
        <w:jc w:val="both"/>
        <w:rPr>
          <w:color w:val="000000"/>
        </w:rPr>
      </w:pPr>
      <w:r>
        <w:t xml:space="preserve">Objektivi i këtyre Termave Referencë është kontraktimi i 8 Mentorëve për eventin ‘Code4Kamenica Online Hackathon’ që do të zgjas 3 ditë. Mentori/ja do të jetë përgjegjëse që t’u ndihmoj të rinjve ne fazat e </w:t>
      </w:r>
      <w:r w:rsidR="002C6FAA">
        <w:t>gjetjes së idesë</w:t>
      </w:r>
      <w:r>
        <w:t>, dizajnimit dhe zhvillimit të zgjidhjes digjitale, dhe po ashtu të ofroj asistencë teknike përgjatë kësaj periudhe. Secili mentor do të punoj me grupe të ndryshme duke u bazuar në aftësitë e ndryshme që kanë këta mentor.</w:t>
      </w:r>
      <w:r>
        <w:rPr>
          <w:color w:val="000000"/>
        </w:rPr>
        <w:t xml:space="preserve"> Periudha e zbatimit të këtij aktiviteti është </w:t>
      </w:r>
      <w:r>
        <w:t>3 ditë.</w:t>
      </w:r>
    </w:p>
    <w:p w14:paraId="649C18BC" w14:textId="77777777" w:rsidR="00567DB1" w:rsidRDefault="002177EC">
      <w:pPr>
        <w:pStyle w:val="Heading1"/>
        <w:numPr>
          <w:ilvl w:val="0"/>
          <w:numId w:val="1"/>
        </w:numPr>
        <w:spacing w:line="240" w:lineRule="auto"/>
        <w:rPr>
          <w:color w:val="000000"/>
          <w:sz w:val="22"/>
          <w:szCs w:val="22"/>
        </w:rPr>
      </w:pPr>
      <w:r>
        <w:rPr>
          <w:color w:val="000000"/>
          <w:sz w:val="22"/>
          <w:szCs w:val="22"/>
        </w:rPr>
        <w:t>Vendi i punës</w:t>
      </w:r>
    </w:p>
    <w:p w14:paraId="536DE266" w14:textId="77777777" w:rsidR="00567DB1" w:rsidRDefault="00567DB1">
      <w:pPr>
        <w:spacing w:after="0"/>
        <w:rPr>
          <w:color w:val="000000"/>
        </w:rPr>
      </w:pPr>
    </w:p>
    <w:p w14:paraId="399357CB" w14:textId="77777777" w:rsidR="00567DB1" w:rsidRDefault="002177EC">
      <w:pPr>
        <w:spacing w:after="0"/>
        <w:rPr>
          <w:color w:val="000000"/>
          <w:highlight w:val="white"/>
        </w:rPr>
      </w:pPr>
      <w:r>
        <w:rPr>
          <w:color w:val="000000"/>
          <w:highlight w:val="white"/>
        </w:rPr>
        <w:t>Mentori/Trajneri do t</w:t>
      </w:r>
      <w:r>
        <w:rPr>
          <w:color w:val="000000"/>
        </w:rPr>
        <w:t>ë</w:t>
      </w:r>
      <w:r>
        <w:rPr>
          <w:color w:val="000000"/>
          <w:highlight w:val="white"/>
        </w:rPr>
        <w:t xml:space="preserve"> i krye</w:t>
      </w:r>
      <w:r>
        <w:rPr>
          <w:color w:val="000000"/>
        </w:rPr>
        <w:t>j detyrat e përcaktuara</w:t>
      </w:r>
      <w:r>
        <w:rPr>
          <w:color w:val="000000"/>
          <w:highlight w:val="white"/>
        </w:rPr>
        <w:t xml:space="preserve"> </w:t>
      </w:r>
      <w:r>
        <w:rPr>
          <w:highlight w:val="white"/>
        </w:rPr>
        <w:t>online p</w:t>
      </w:r>
      <w:r>
        <w:t>ërmes aplikacioneve të komunikimit si Zoom.</w:t>
      </w:r>
    </w:p>
    <w:p w14:paraId="649BE06F" w14:textId="77777777" w:rsidR="00567DB1" w:rsidRDefault="002177EC">
      <w:pPr>
        <w:pStyle w:val="Heading1"/>
        <w:numPr>
          <w:ilvl w:val="0"/>
          <w:numId w:val="1"/>
        </w:numPr>
        <w:rPr>
          <w:color w:val="000000"/>
          <w:sz w:val="22"/>
          <w:szCs w:val="22"/>
        </w:rPr>
      </w:pPr>
      <w:r>
        <w:rPr>
          <w:color w:val="000000"/>
          <w:sz w:val="22"/>
          <w:szCs w:val="22"/>
        </w:rPr>
        <w:t>Periudha e punës</w:t>
      </w:r>
    </w:p>
    <w:p w14:paraId="4AFDEC6C" w14:textId="77777777" w:rsidR="00567DB1" w:rsidRDefault="002177EC">
      <w:pPr>
        <w:spacing w:after="0"/>
        <w:jc w:val="both"/>
        <w:rPr>
          <w:color w:val="000000"/>
          <w:highlight w:val="white"/>
        </w:rPr>
      </w:pPr>
      <w:bookmarkStart w:id="3" w:name="_heading=h.3znysh7" w:colFirst="0" w:colLast="0"/>
      <w:bookmarkEnd w:id="3"/>
      <w:r>
        <w:rPr>
          <w:color w:val="000000"/>
          <w:highlight w:val="white"/>
        </w:rPr>
        <w:br/>
        <w:t xml:space="preserve">Angazhimi i </w:t>
      </w:r>
      <w:r>
        <w:rPr>
          <w:highlight w:val="white"/>
        </w:rPr>
        <w:t>mentor</w:t>
      </w:r>
      <w:r>
        <w:t xml:space="preserve">ëve </w:t>
      </w:r>
      <w:r>
        <w:rPr>
          <w:color w:val="000000"/>
          <w:highlight w:val="white"/>
        </w:rPr>
        <w:t xml:space="preserve"> pritet të </w:t>
      </w:r>
      <w:r>
        <w:rPr>
          <w:highlight w:val="white"/>
        </w:rPr>
        <w:t>jet</w:t>
      </w:r>
      <w:r>
        <w:t>ë në Qershor 2020</w:t>
      </w:r>
      <w:r>
        <w:rPr>
          <w:color w:val="000000"/>
          <w:highlight w:val="white"/>
        </w:rPr>
        <w:t xml:space="preserve">. </w:t>
      </w:r>
      <w:r>
        <w:rPr>
          <w:color w:val="000000"/>
        </w:rPr>
        <w:t>Datat dhe oraret e sakta të punës do të vendosen deri n</w:t>
      </w:r>
      <w:r>
        <w:t xml:space="preserve">ë fund të muajit Maj 2020. </w:t>
      </w:r>
      <w:r>
        <w:rPr>
          <w:color w:val="000000"/>
        </w:rPr>
        <w:t>Trajneri/</w:t>
      </w:r>
      <w:r>
        <w:rPr>
          <w:color w:val="000000"/>
          <w:highlight w:val="white"/>
        </w:rPr>
        <w:t>Mentori i zgjedhur do të duhet të nënshkruajnë Deklaratën e Disponueshmërisë.</w:t>
      </w:r>
    </w:p>
    <w:p w14:paraId="0A63CCDF" w14:textId="77777777" w:rsidR="00567DB1" w:rsidRDefault="00567DB1">
      <w:pPr>
        <w:spacing w:after="0"/>
        <w:jc w:val="both"/>
        <w:rPr>
          <w:highlight w:val="white"/>
        </w:rPr>
      </w:pPr>
      <w:bookmarkStart w:id="4" w:name="_heading=h.umyv0jdpsh9z" w:colFirst="0" w:colLast="0"/>
      <w:bookmarkEnd w:id="4"/>
    </w:p>
    <w:p w14:paraId="31B72E20" w14:textId="1A8263B9" w:rsidR="00567DB1" w:rsidRDefault="002177EC">
      <w:pPr>
        <w:spacing w:after="0"/>
        <w:jc w:val="both"/>
        <w:rPr>
          <w:highlight w:val="white"/>
        </w:rPr>
      </w:pPr>
      <w:bookmarkStart w:id="5" w:name="_heading=h.nnf4ubhs4ieo" w:colFirst="0" w:colLast="0"/>
      <w:bookmarkEnd w:id="5"/>
      <w:r w:rsidRPr="00CB660B">
        <w:rPr>
          <w:i/>
          <w:highlight w:val="white"/>
        </w:rPr>
        <w:t>Informatë shtesë</w:t>
      </w:r>
      <w:r>
        <w:rPr>
          <w:highlight w:val="white"/>
        </w:rPr>
        <w:t xml:space="preserve">: Trajneri/ja që do të përzgjedhet për mentorim për një muaj shtesë pas përfundimit të projektit </w:t>
      </w:r>
      <w:r w:rsidR="002C6FAA">
        <w:rPr>
          <w:highlight w:val="white"/>
        </w:rPr>
        <w:t xml:space="preserve">do të </w:t>
      </w:r>
      <w:bookmarkStart w:id="6" w:name="_GoBack"/>
      <w:bookmarkEnd w:id="6"/>
      <w:r w:rsidR="002C6FAA">
        <w:rPr>
          <w:highlight w:val="white"/>
        </w:rPr>
        <w:t xml:space="preserve">paguhet për këtë angazhim në bazë të ofertës financiare dhe negocimit.  </w:t>
      </w:r>
    </w:p>
    <w:p w14:paraId="5B71546B" w14:textId="77777777" w:rsidR="00567DB1" w:rsidRDefault="00567DB1">
      <w:pPr>
        <w:pBdr>
          <w:top w:val="nil"/>
          <w:left w:val="nil"/>
          <w:bottom w:val="nil"/>
          <w:right w:val="nil"/>
          <w:between w:val="nil"/>
        </w:pBdr>
        <w:spacing w:after="0" w:line="240" w:lineRule="auto"/>
        <w:rPr>
          <w:color w:val="000000"/>
        </w:rPr>
      </w:pPr>
    </w:p>
    <w:p w14:paraId="25C08210" w14:textId="77777777" w:rsidR="00567DB1" w:rsidRDefault="002177EC">
      <w:pPr>
        <w:numPr>
          <w:ilvl w:val="0"/>
          <w:numId w:val="1"/>
        </w:numPr>
        <w:pBdr>
          <w:top w:val="nil"/>
          <w:left w:val="nil"/>
          <w:bottom w:val="nil"/>
          <w:right w:val="nil"/>
          <w:between w:val="nil"/>
        </w:pBdr>
        <w:spacing w:after="0" w:line="240" w:lineRule="auto"/>
        <w:rPr>
          <w:b/>
          <w:color w:val="000000"/>
        </w:rPr>
      </w:pPr>
      <w:r>
        <w:rPr>
          <w:b/>
          <w:color w:val="000000"/>
        </w:rPr>
        <w:t>Detyrat dhe përgjegjësitë:</w:t>
      </w:r>
    </w:p>
    <w:p w14:paraId="654A5695" w14:textId="77777777" w:rsidR="00567DB1" w:rsidRDefault="00567DB1">
      <w:pPr>
        <w:spacing w:after="0" w:line="240" w:lineRule="auto"/>
        <w:jc w:val="both"/>
        <w:rPr>
          <w:color w:val="000000"/>
        </w:rPr>
      </w:pPr>
    </w:p>
    <w:p w14:paraId="6FE889DD" w14:textId="77777777" w:rsidR="00567DB1" w:rsidRDefault="002177EC">
      <w:pPr>
        <w:spacing w:after="0" w:line="240" w:lineRule="auto"/>
        <w:jc w:val="both"/>
        <w:rPr>
          <w:color w:val="000000"/>
        </w:rPr>
      </w:pPr>
      <w:r>
        <w:rPr>
          <w:color w:val="000000"/>
        </w:rPr>
        <w:t>Trajneri/Mentori do të jetë i përgjegjshëm për:</w:t>
      </w:r>
    </w:p>
    <w:p w14:paraId="46FDC72A" w14:textId="77777777" w:rsidR="00567DB1" w:rsidRDefault="00567DB1">
      <w:pPr>
        <w:spacing w:after="0" w:line="240" w:lineRule="auto"/>
        <w:jc w:val="both"/>
        <w:rPr>
          <w:color w:val="000000"/>
        </w:rPr>
      </w:pPr>
    </w:p>
    <w:p w14:paraId="10CE750C" w14:textId="35F184ED" w:rsidR="00567DB1" w:rsidRDefault="002177EC">
      <w:pPr>
        <w:numPr>
          <w:ilvl w:val="0"/>
          <w:numId w:val="4"/>
        </w:numPr>
        <w:spacing w:after="0"/>
        <w:jc w:val="both"/>
        <w:rPr>
          <w:color w:val="000000"/>
        </w:rPr>
      </w:pPr>
      <w:r>
        <w:rPr>
          <w:color w:val="000000"/>
        </w:rPr>
        <w:t xml:space="preserve">Sigurimin e mbështetjes teknike dhe </w:t>
      </w:r>
      <w:r>
        <w:t>mentorimin e të rinjve</w:t>
      </w:r>
      <w:r w:rsidR="008354B0">
        <w:t>;</w:t>
      </w:r>
    </w:p>
    <w:p w14:paraId="5B6CF838" w14:textId="77777777" w:rsidR="00567DB1" w:rsidRDefault="002177EC">
      <w:pPr>
        <w:numPr>
          <w:ilvl w:val="0"/>
          <w:numId w:val="4"/>
        </w:numPr>
        <w:spacing w:after="0"/>
        <w:jc w:val="both"/>
        <w:rPr>
          <w:color w:val="000000"/>
        </w:rPr>
      </w:pPr>
      <w:r>
        <w:rPr>
          <w:color w:val="000000"/>
        </w:rPr>
        <w:t>Monitorimi i nxënësve dhe studentëve, dhe mbajtja e shënimeve dhe raportimi tek autoriteti kontraktues;</w:t>
      </w:r>
    </w:p>
    <w:p w14:paraId="7E7B5248" w14:textId="77DF9176" w:rsidR="00567DB1" w:rsidRDefault="002177EC">
      <w:pPr>
        <w:numPr>
          <w:ilvl w:val="0"/>
          <w:numId w:val="4"/>
        </w:numPr>
        <w:spacing w:after="0"/>
        <w:jc w:val="both"/>
      </w:pPr>
      <w:r>
        <w:t>Pjesëmarrje në 3 ditët e eventit në fjalë</w:t>
      </w:r>
      <w:r w:rsidR="002C6FAA">
        <w:t>;</w:t>
      </w:r>
    </w:p>
    <w:p w14:paraId="5C10A178" w14:textId="4D7A434F" w:rsidR="00567DB1" w:rsidRDefault="002177EC">
      <w:pPr>
        <w:numPr>
          <w:ilvl w:val="0"/>
          <w:numId w:val="4"/>
        </w:numPr>
        <w:spacing w:after="0"/>
        <w:jc w:val="both"/>
        <w:rPr>
          <w:color w:val="000000"/>
        </w:rPr>
      </w:pPr>
      <w:r>
        <w:rPr>
          <w:color w:val="000000"/>
        </w:rPr>
        <w:t>Pajisja e nxënësve dhe studentëve me të gjitha materialet informative të trajnimit</w:t>
      </w:r>
      <w:r w:rsidR="008354B0">
        <w:rPr>
          <w:color w:val="000000"/>
        </w:rPr>
        <w:t>;</w:t>
      </w:r>
    </w:p>
    <w:p w14:paraId="050F689E" w14:textId="66750DAE" w:rsidR="00567DB1" w:rsidRDefault="002177EC">
      <w:pPr>
        <w:numPr>
          <w:ilvl w:val="0"/>
          <w:numId w:val="4"/>
        </w:numPr>
        <w:spacing w:after="0"/>
        <w:jc w:val="both"/>
        <w:rPr>
          <w:color w:val="000000"/>
        </w:rPr>
      </w:pPr>
      <w:r>
        <w:rPr>
          <w:color w:val="000000"/>
        </w:rPr>
        <w:t>Identifikimi i vështirësive të ndryshme që mund të kenë nxënësit</w:t>
      </w:r>
      <w:r w:rsidR="008354B0">
        <w:rPr>
          <w:color w:val="000000"/>
        </w:rPr>
        <w:t>;</w:t>
      </w:r>
      <w:r>
        <w:rPr>
          <w:color w:val="000000"/>
        </w:rPr>
        <w:t xml:space="preserve"> </w:t>
      </w:r>
    </w:p>
    <w:p w14:paraId="3B2D17B7" w14:textId="77777777" w:rsidR="00567DB1" w:rsidRDefault="002177EC">
      <w:pPr>
        <w:numPr>
          <w:ilvl w:val="0"/>
          <w:numId w:val="4"/>
        </w:numPr>
        <w:spacing w:after="0"/>
        <w:jc w:val="both"/>
        <w:rPr>
          <w:color w:val="000000"/>
        </w:rPr>
      </w:pPr>
      <w:r>
        <w:rPr>
          <w:color w:val="000000"/>
        </w:rPr>
        <w:t>Regjistron numrin e nxënësve të përfshirë në secilën seancë mentorimi;</w:t>
      </w:r>
    </w:p>
    <w:p w14:paraId="4BF3A8A9" w14:textId="77777777" w:rsidR="00567DB1" w:rsidRDefault="002177EC">
      <w:pPr>
        <w:numPr>
          <w:ilvl w:val="0"/>
          <w:numId w:val="4"/>
        </w:numPr>
        <w:spacing w:after="0"/>
        <w:jc w:val="both"/>
        <w:rPr>
          <w:color w:val="000000"/>
        </w:rPr>
      </w:pPr>
      <w:r>
        <w:rPr>
          <w:color w:val="000000"/>
        </w:rPr>
        <w:t>T'i sigurojë Open Data Kosovo dokumentacionin e nevojshëm financiar për të bërë pagesën, llogari bankare, kopje të dokumentit të identitetit, kërkesat për pagesë dhe pasqyrat e orëve të punës për secilin individ);</w:t>
      </w:r>
    </w:p>
    <w:p w14:paraId="5D9A4BC9" w14:textId="77777777" w:rsidR="00567DB1" w:rsidRDefault="002177EC">
      <w:pPr>
        <w:numPr>
          <w:ilvl w:val="0"/>
          <w:numId w:val="4"/>
        </w:numPr>
        <w:spacing w:after="0"/>
        <w:jc w:val="both"/>
        <w:rPr>
          <w:color w:val="000000"/>
        </w:rPr>
      </w:pPr>
      <w:r>
        <w:rPr>
          <w:color w:val="000000"/>
        </w:rPr>
        <w:t xml:space="preserve">Promovimin e trajnimeve në mediat sociale, në postera dhe aktivitete mediatike; </w:t>
      </w:r>
    </w:p>
    <w:p w14:paraId="035A498C" w14:textId="77777777" w:rsidR="00567DB1" w:rsidRDefault="002177EC">
      <w:pPr>
        <w:numPr>
          <w:ilvl w:val="0"/>
          <w:numId w:val="4"/>
        </w:numPr>
        <w:spacing w:after="0"/>
        <w:jc w:val="both"/>
        <w:rPr>
          <w:color w:val="000000"/>
        </w:rPr>
      </w:pPr>
      <w:r>
        <w:rPr>
          <w:color w:val="000000"/>
        </w:rPr>
        <w:t>Detyra të tjera të ngjashme siç kërkohet nga projekti.</w:t>
      </w:r>
    </w:p>
    <w:p w14:paraId="39C42613" w14:textId="77777777" w:rsidR="00567DB1" w:rsidRDefault="002177EC">
      <w:pPr>
        <w:pStyle w:val="Heading1"/>
        <w:numPr>
          <w:ilvl w:val="0"/>
          <w:numId w:val="1"/>
        </w:numPr>
        <w:rPr>
          <w:color w:val="000000"/>
          <w:sz w:val="22"/>
          <w:szCs w:val="22"/>
        </w:rPr>
      </w:pPr>
      <w:bookmarkStart w:id="7" w:name="_heading=h.2et92p0" w:colFirst="0" w:colLast="0"/>
      <w:bookmarkEnd w:id="7"/>
      <w:r>
        <w:rPr>
          <w:color w:val="000000"/>
          <w:sz w:val="22"/>
          <w:szCs w:val="22"/>
        </w:rPr>
        <w:t xml:space="preserve"> Faza Përgatitore</w:t>
      </w:r>
    </w:p>
    <w:p w14:paraId="34F572CE" w14:textId="77777777" w:rsidR="00567DB1" w:rsidRDefault="00567DB1">
      <w:pPr>
        <w:spacing w:after="0"/>
        <w:jc w:val="both"/>
        <w:rPr>
          <w:color w:val="000000"/>
        </w:rPr>
      </w:pPr>
      <w:bookmarkStart w:id="8" w:name="_heading=h.tyjcwt" w:colFirst="0" w:colLast="0"/>
      <w:bookmarkEnd w:id="8"/>
    </w:p>
    <w:p w14:paraId="474222C0" w14:textId="77777777" w:rsidR="00567DB1" w:rsidRDefault="002177EC">
      <w:pPr>
        <w:spacing w:after="0"/>
        <w:jc w:val="both"/>
        <w:rPr>
          <w:color w:val="000000"/>
        </w:rPr>
      </w:pPr>
      <w:bookmarkStart w:id="9" w:name="_heading=h.3dy6vkm" w:colFirst="0" w:colLast="0"/>
      <w:bookmarkEnd w:id="9"/>
      <w:r>
        <w:rPr>
          <w:color w:val="000000"/>
        </w:rPr>
        <w:t>Ju lutemi, të keni parasysh se para se Udhëheqësi teknik të filloj punën, do t'i nënshtrohet një faze përgatitore, e cila përfshin:</w:t>
      </w:r>
    </w:p>
    <w:p w14:paraId="4F3BF864" w14:textId="77777777" w:rsidR="00567DB1" w:rsidRDefault="00567DB1">
      <w:pPr>
        <w:spacing w:after="0"/>
        <w:jc w:val="both"/>
        <w:rPr>
          <w:color w:val="000000"/>
        </w:rPr>
      </w:pPr>
    </w:p>
    <w:p w14:paraId="4AB4E999" w14:textId="77777777" w:rsidR="00567DB1" w:rsidRDefault="002177EC">
      <w:pPr>
        <w:numPr>
          <w:ilvl w:val="0"/>
          <w:numId w:val="4"/>
        </w:numPr>
        <w:spacing w:after="0"/>
        <w:jc w:val="both"/>
        <w:rPr>
          <w:color w:val="000000"/>
        </w:rPr>
      </w:pPr>
      <w:r>
        <w:rPr>
          <w:color w:val="000000"/>
        </w:rPr>
        <w:t xml:space="preserve">Pjesëmarrjen në 1 punëtori për t'u njohur me projektin, objektivat dhe kurrikulen dhe Familjarizimin me politikat përkatëse të Bashkimit Evropian për raportim. </w:t>
      </w:r>
    </w:p>
    <w:p w14:paraId="1972612F" w14:textId="339AC033" w:rsidR="00567DB1" w:rsidRDefault="00567DB1">
      <w:pPr>
        <w:spacing w:after="0"/>
        <w:ind w:left="720"/>
        <w:jc w:val="both"/>
        <w:rPr>
          <w:color w:val="000000"/>
        </w:rPr>
      </w:pPr>
    </w:p>
    <w:p w14:paraId="52CC4542" w14:textId="77777777" w:rsidR="008354B0" w:rsidRDefault="008354B0">
      <w:pPr>
        <w:spacing w:after="0"/>
        <w:ind w:left="720"/>
        <w:jc w:val="both"/>
        <w:rPr>
          <w:color w:val="000000"/>
        </w:rPr>
      </w:pPr>
    </w:p>
    <w:p w14:paraId="5407104E" w14:textId="77777777" w:rsidR="00567DB1" w:rsidRDefault="002177EC">
      <w:pPr>
        <w:numPr>
          <w:ilvl w:val="0"/>
          <w:numId w:val="1"/>
        </w:numPr>
        <w:pBdr>
          <w:top w:val="nil"/>
          <w:left w:val="nil"/>
          <w:bottom w:val="nil"/>
          <w:right w:val="nil"/>
          <w:between w:val="nil"/>
        </w:pBdr>
        <w:spacing w:after="0"/>
        <w:jc w:val="both"/>
        <w:rPr>
          <w:b/>
          <w:color w:val="000000"/>
        </w:rPr>
      </w:pPr>
      <w:r>
        <w:rPr>
          <w:b/>
          <w:color w:val="000000"/>
        </w:rPr>
        <w:lastRenderedPageBreak/>
        <w:t>Kriteret e Përzgjedhjes</w:t>
      </w:r>
    </w:p>
    <w:p w14:paraId="2E095E13" w14:textId="77777777" w:rsidR="00567DB1" w:rsidRDefault="00567DB1">
      <w:pPr>
        <w:rPr>
          <w:b/>
        </w:rPr>
      </w:pPr>
    </w:p>
    <w:p w14:paraId="386ABB4C" w14:textId="77777777" w:rsidR="00567DB1" w:rsidRDefault="002177EC">
      <w:pPr>
        <w:rPr>
          <w:color w:val="000000"/>
        </w:rPr>
      </w:pPr>
      <w:r>
        <w:rPr>
          <w:color w:val="000000"/>
        </w:rPr>
        <w:t>Përvoja dhe kualifikimet e domosdoshme:</w:t>
      </w:r>
    </w:p>
    <w:p w14:paraId="71A01585" w14:textId="77777777" w:rsidR="00567DB1" w:rsidRDefault="002177EC">
      <w:pPr>
        <w:numPr>
          <w:ilvl w:val="0"/>
          <w:numId w:val="3"/>
        </w:numPr>
        <w:spacing w:after="0"/>
        <w:jc w:val="both"/>
        <w:rPr>
          <w:color w:val="000000"/>
        </w:rPr>
      </w:pPr>
      <w:r>
        <w:rPr>
          <w:color w:val="000000"/>
        </w:rPr>
        <w:t>Diplomë universitare ose çertifikim profesional në fushën e Shkencave Kompjuterike, Inxhinierisë së programeve Kompjuterike Shkencave ekzakte, ose fusha të tjera të ngjajshme.</w:t>
      </w:r>
    </w:p>
    <w:p w14:paraId="25667106" w14:textId="77777777" w:rsidR="00567DB1" w:rsidRDefault="002177EC">
      <w:pPr>
        <w:numPr>
          <w:ilvl w:val="0"/>
          <w:numId w:val="3"/>
        </w:numPr>
        <w:spacing w:after="0"/>
        <w:rPr>
          <w:color w:val="000000"/>
        </w:rPr>
      </w:pPr>
      <w:r>
        <w:rPr>
          <w:color w:val="000000"/>
        </w:rPr>
        <w:t>Trajneri/Mentori duhet të ketë përvojë pune të vërtetuara si trajner/mentor/ligjërues.</w:t>
      </w:r>
    </w:p>
    <w:p w14:paraId="660AC79F" w14:textId="20A07605" w:rsidR="00567DB1" w:rsidRDefault="002177EC">
      <w:pPr>
        <w:numPr>
          <w:ilvl w:val="0"/>
          <w:numId w:val="3"/>
        </w:numPr>
        <w:pBdr>
          <w:top w:val="nil"/>
          <w:left w:val="nil"/>
          <w:bottom w:val="nil"/>
          <w:right w:val="nil"/>
          <w:between w:val="nil"/>
        </w:pBdr>
        <w:spacing w:after="0" w:line="240" w:lineRule="auto"/>
        <w:rPr>
          <w:color w:val="000000"/>
        </w:rPr>
      </w:pPr>
      <w:r>
        <w:t>Eksperiencë pune në zhvillim të web aplikacioneve</w:t>
      </w:r>
      <w:r w:rsidR="008354B0">
        <w:t>.</w:t>
      </w:r>
    </w:p>
    <w:p w14:paraId="469913CD" w14:textId="77777777" w:rsidR="00567DB1" w:rsidRDefault="00567DB1">
      <w:pPr>
        <w:spacing w:after="0" w:line="240" w:lineRule="auto"/>
        <w:rPr>
          <w:b/>
          <w:color w:val="000000"/>
        </w:rPr>
      </w:pPr>
    </w:p>
    <w:p w14:paraId="79996EAB" w14:textId="77777777" w:rsidR="00567DB1" w:rsidRDefault="002177EC">
      <w:pPr>
        <w:spacing w:after="0" w:line="240" w:lineRule="auto"/>
        <w:rPr>
          <w:b/>
          <w:color w:val="000000"/>
        </w:rPr>
      </w:pPr>
      <w:r>
        <w:rPr>
          <w:b/>
          <w:color w:val="000000"/>
        </w:rPr>
        <w:t>Aftësitë Kyçe:</w:t>
      </w:r>
      <w:r>
        <w:rPr>
          <w:b/>
          <w:color w:val="000000"/>
        </w:rPr>
        <w:br/>
      </w:r>
    </w:p>
    <w:p w14:paraId="0E37961A" w14:textId="77777777" w:rsidR="00567DB1" w:rsidRDefault="002177EC">
      <w:pPr>
        <w:numPr>
          <w:ilvl w:val="0"/>
          <w:numId w:val="2"/>
        </w:numPr>
        <w:spacing w:after="0"/>
        <w:jc w:val="both"/>
        <w:rPr>
          <w:color w:val="000000"/>
        </w:rPr>
      </w:pPr>
      <w:r>
        <w:rPr>
          <w:color w:val="000000"/>
        </w:rPr>
        <w:t>Aftësi të shkëlqyera komunikuese;</w:t>
      </w:r>
    </w:p>
    <w:p w14:paraId="05862037" w14:textId="77777777" w:rsidR="00567DB1" w:rsidRDefault="002177EC">
      <w:pPr>
        <w:numPr>
          <w:ilvl w:val="0"/>
          <w:numId w:val="2"/>
        </w:numPr>
        <w:spacing w:after="0"/>
        <w:jc w:val="both"/>
        <w:rPr>
          <w:color w:val="000000"/>
        </w:rPr>
      </w:pPr>
      <w:r>
        <w:rPr>
          <w:color w:val="000000"/>
        </w:rPr>
        <w:t>Njohje të shkëlqyer të gjuhës shqipe, dhe njohuri të mira të gjuhës angleze;</w:t>
      </w:r>
    </w:p>
    <w:p w14:paraId="058E9D60" w14:textId="77777777" w:rsidR="00567DB1" w:rsidRDefault="002177EC">
      <w:pPr>
        <w:numPr>
          <w:ilvl w:val="0"/>
          <w:numId w:val="2"/>
        </w:numPr>
        <w:spacing w:after="0"/>
        <w:jc w:val="both"/>
        <w:rPr>
          <w:color w:val="000000"/>
        </w:rPr>
      </w:pPr>
      <w:r>
        <w:rPr>
          <w:color w:val="000000"/>
        </w:rPr>
        <w:t>Aftësi të mira raportimi;</w:t>
      </w:r>
    </w:p>
    <w:p w14:paraId="4B38129D" w14:textId="77777777" w:rsidR="00567DB1" w:rsidRDefault="002177EC">
      <w:pPr>
        <w:numPr>
          <w:ilvl w:val="0"/>
          <w:numId w:val="3"/>
        </w:numPr>
        <w:spacing w:after="0"/>
        <w:jc w:val="both"/>
        <w:rPr>
          <w:color w:val="000000"/>
        </w:rPr>
      </w:pPr>
      <w:r>
        <w:rPr>
          <w:color w:val="000000"/>
        </w:rPr>
        <w:t>Aftësi të mirë në gjuhët zhvilluese të web programimit</w:t>
      </w:r>
      <w:r>
        <w:rPr>
          <w:color w:val="000000"/>
        </w:rPr>
        <w:tab/>
      </w:r>
      <w:r>
        <w:rPr>
          <w:color w:val="000000"/>
        </w:rPr>
        <w:br/>
      </w:r>
    </w:p>
    <w:p w14:paraId="412EE75A" w14:textId="77777777" w:rsidR="00567DB1" w:rsidRDefault="002177EC">
      <w:pPr>
        <w:numPr>
          <w:ilvl w:val="0"/>
          <w:numId w:val="1"/>
        </w:numPr>
        <w:pBdr>
          <w:top w:val="nil"/>
          <w:left w:val="nil"/>
          <w:bottom w:val="nil"/>
          <w:right w:val="nil"/>
          <w:between w:val="nil"/>
        </w:pBdr>
        <w:spacing w:after="0" w:line="240" w:lineRule="auto"/>
        <w:rPr>
          <w:b/>
          <w:color w:val="000000"/>
        </w:rPr>
      </w:pPr>
      <w:r>
        <w:rPr>
          <w:b/>
          <w:color w:val="000000"/>
        </w:rPr>
        <w:t xml:space="preserve">Kriteret e përjashtimit </w:t>
      </w:r>
    </w:p>
    <w:p w14:paraId="3F6E4B20" w14:textId="77777777" w:rsidR="00567DB1" w:rsidRDefault="002177EC">
      <w:pPr>
        <w:spacing w:after="0"/>
        <w:ind w:left="720"/>
        <w:rPr>
          <w:color w:val="000000"/>
        </w:rPr>
      </w:pPr>
      <w:r>
        <w:rPr>
          <w:color w:val="000000"/>
          <w:sz w:val="24"/>
          <w:szCs w:val="24"/>
        </w:rPr>
        <w:t xml:space="preserve"> </w:t>
      </w:r>
    </w:p>
    <w:p w14:paraId="0544E5E4" w14:textId="77777777" w:rsidR="00567DB1" w:rsidRDefault="002177EC">
      <w:pPr>
        <w:pBdr>
          <w:top w:val="nil"/>
          <w:left w:val="nil"/>
          <w:bottom w:val="nil"/>
          <w:right w:val="nil"/>
          <w:between w:val="nil"/>
        </w:pBdr>
        <w:spacing w:after="123" w:line="240" w:lineRule="auto"/>
        <w:ind w:left="720"/>
        <w:rPr>
          <w:color w:val="000000"/>
        </w:rPr>
      </w:pPr>
      <w:r>
        <w:rPr>
          <w:color w:val="000000"/>
        </w:rPr>
        <w:t>Aplikantët do të përjashtohen nga pjesëmarrja nëse:</w:t>
      </w:r>
    </w:p>
    <w:p w14:paraId="3F341872" w14:textId="77777777" w:rsidR="00567DB1" w:rsidRDefault="002177EC">
      <w:pPr>
        <w:pBdr>
          <w:top w:val="nil"/>
          <w:left w:val="nil"/>
          <w:bottom w:val="nil"/>
          <w:right w:val="nil"/>
          <w:between w:val="nil"/>
        </w:pBdr>
        <w:spacing w:after="123" w:line="240" w:lineRule="auto"/>
        <w:ind w:left="720"/>
        <w:rPr>
          <w:color w:val="000000"/>
        </w:rPr>
      </w:pPr>
      <w:r>
        <w:rPr>
          <w:color w:val="000000"/>
        </w:rPr>
        <w:t>a)      ata kanë një konflikt interesi në lidhje me kontratën, një konflikt interesi mund të lindë në veçanti si rezultat i interesave ekonomike, lidhjeve politike ose kombëtare, lidhjeve familjare ose emocionale ose ndonjë lidhje tjetër relevante ose interes të përbashkët;</w:t>
      </w:r>
    </w:p>
    <w:p w14:paraId="4C9AA53B" w14:textId="77777777" w:rsidR="00567DB1" w:rsidRDefault="002177EC">
      <w:pPr>
        <w:pBdr>
          <w:top w:val="nil"/>
          <w:left w:val="nil"/>
          <w:bottom w:val="nil"/>
          <w:right w:val="nil"/>
          <w:between w:val="nil"/>
        </w:pBdr>
        <w:spacing w:after="123" w:line="240" w:lineRule="auto"/>
        <w:ind w:left="720"/>
        <w:rPr>
          <w:color w:val="000000"/>
        </w:rPr>
      </w:pPr>
      <w:r>
        <w:rPr>
          <w:color w:val="000000"/>
        </w:rPr>
        <w:t>b)      ata janë dënuar për një vepër penale nga gjykatat apo janë nën hetime;</w:t>
      </w:r>
    </w:p>
    <w:p w14:paraId="63C19DC6" w14:textId="77777777" w:rsidR="00567DB1" w:rsidRDefault="002177EC">
      <w:pPr>
        <w:pBdr>
          <w:top w:val="nil"/>
          <w:left w:val="nil"/>
          <w:bottom w:val="nil"/>
          <w:right w:val="nil"/>
          <w:between w:val="nil"/>
        </w:pBdr>
        <w:spacing w:after="123" w:line="240" w:lineRule="auto"/>
        <w:ind w:left="720"/>
        <w:rPr>
          <w:color w:val="000000"/>
        </w:rPr>
      </w:pPr>
      <w:r>
        <w:rPr>
          <w:color w:val="000000"/>
        </w:rPr>
        <w:t>c)     ata kanë qenë fajtorë për sjellje të rëndë profesionale përmes çdo mjeti që autoriteti kontraktues mund të justifikojë, duke përfshirë vendimet e organizatave ndërkombëtare;</w:t>
      </w:r>
    </w:p>
    <w:p w14:paraId="15CEB0DD" w14:textId="77777777" w:rsidR="00567DB1" w:rsidRDefault="002177EC">
      <w:pPr>
        <w:pBdr>
          <w:top w:val="nil"/>
          <w:left w:val="nil"/>
          <w:bottom w:val="nil"/>
          <w:right w:val="nil"/>
          <w:between w:val="nil"/>
        </w:pBdr>
        <w:spacing w:after="123" w:line="240" w:lineRule="auto"/>
        <w:ind w:left="720"/>
        <w:rPr>
          <w:color w:val="000000"/>
        </w:rPr>
      </w:pPr>
      <w:r>
        <w:rPr>
          <w:color w:val="000000"/>
        </w:rPr>
        <w:t>d)       ata ose personat kompetent të përfaqësimit, vendimmarrjes ose kontrollit të tyre kanë qenë subjekt i një gjykimi i cili ka forcën e res judicata për mashtrim, korrupsion, përfshirje në një organizatë kriminale, shpërlarje parash ose ndonjë aktivitet tjetër të paligjshëm, ku aktiviteti i paligjshëm është i dëmshëm për interesat financiare të Bashkimit;</w:t>
      </w:r>
    </w:p>
    <w:p w14:paraId="3563D265" w14:textId="77777777" w:rsidR="00567DB1" w:rsidRDefault="002177EC">
      <w:pPr>
        <w:pBdr>
          <w:top w:val="nil"/>
          <w:left w:val="nil"/>
          <w:bottom w:val="nil"/>
          <w:right w:val="nil"/>
          <w:between w:val="nil"/>
        </w:pBdr>
        <w:spacing w:after="123" w:line="240" w:lineRule="auto"/>
        <w:ind w:left="720"/>
        <w:rPr>
          <w:color w:val="000000"/>
        </w:rPr>
      </w:pPr>
      <w:r>
        <w:rPr>
          <w:color w:val="000000"/>
        </w:rPr>
        <w:t>e)      ata janë subjekt i një ndëshkimi administrativ si fajtor për paraqitjen e gabuar në dhënien e informacionit të kërkuar nga autoriteti kontraktues, i cili ka si kusht për pjesëmarrje në një procedurë prokurimi ose mos dhënien e informacionit, ose që deklarohen të jenë në shkelje të rëndë të detyrimit të tyre sipas një kontrate mbuluar nga buxheti.</w:t>
      </w:r>
    </w:p>
    <w:p w14:paraId="518B4ACD" w14:textId="77777777" w:rsidR="00567DB1" w:rsidRDefault="00567DB1">
      <w:pPr>
        <w:spacing w:after="0" w:line="240" w:lineRule="auto"/>
        <w:rPr>
          <w:color w:val="000000"/>
          <w:highlight w:val="white"/>
        </w:rPr>
      </w:pPr>
    </w:p>
    <w:p w14:paraId="67C179B4" w14:textId="77777777" w:rsidR="00567DB1" w:rsidRDefault="002177EC">
      <w:pPr>
        <w:spacing w:after="0" w:line="240" w:lineRule="auto"/>
        <w:rPr>
          <w:color w:val="000000"/>
          <w:highlight w:val="white"/>
        </w:rPr>
      </w:pPr>
      <w:r>
        <w:rPr>
          <w:color w:val="000000"/>
          <w:highlight w:val="white"/>
        </w:rPr>
        <w:t>Para nënshkrimit të kontratës ekspertët duhet të deklarojnë me shkrim në nderin e tyre se ata nuk janë të përfshirë në ndonjë nga situatat e përjashtimit të listuara mësipër. Nëse ngriten dyshime, nga ata mund të kërkohet të ofrojnë dëshmi shtesë për mospërfshirje në përjashtime.</w:t>
      </w:r>
    </w:p>
    <w:p w14:paraId="0466E96D" w14:textId="77777777" w:rsidR="00567DB1" w:rsidRDefault="00567DB1">
      <w:pPr>
        <w:spacing w:after="0" w:line="240" w:lineRule="auto"/>
        <w:rPr>
          <w:color w:val="000000"/>
          <w:highlight w:val="white"/>
        </w:rPr>
      </w:pPr>
    </w:p>
    <w:p w14:paraId="7B15B7D0" w14:textId="77777777" w:rsidR="00567DB1" w:rsidRDefault="002177EC">
      <w:pPr>
        <w:numPr>
          <w:ilvl w:val="0"/>
          <w:numId w:val="1"/>
        </w:numPr>
        <w:pBdr>
          <w:top w:val="nil"/>
          <w:left w:val="nil"/>
          <w:bottom w:val="nil"/>
          <w:right w:val="nil"/>
          <w:between w:val="nil"/>
        </w:pBdr>
        <w:spacing w:after="0" w:line="240" w:lineRule="auto"/>
        <w:rPr>
          <w:color w:val="000000"/>
          <w:highlight w:val="white"/>
        </w:rPr>
      </w:pPr>
      <w:r>
        <w:rPr>
          <w:b/>
          <w:color w:val="000000"/>
          <w:highlight w:val="white"/>
        </w:rPr>
        <w:t>Dokumentet p</w:t>
      </w:r>
      <w:r>
        <w:rPr>
          <w:b/>
          <w:color w:val="000000"/>
        </w:rPr>
        <w:t>ër aplikim</w:t>
      </w:r>
    </w:p>
    <w:p w14:paraId="0B398FC4" w14:textId="56DC6429" w:rsidR="00567DB1" w:rsidRDefault="002177EC">
      <w:pPr>
        <w:numPr>
          <w:ilvl w:val="0"/>
          <w:numId w:val="3"/>
        </w:numPr>
        <w:pBdr>
          <w:top w:val="nil"/>
          <w:left w:val="nil"/>
          <w:bottom w:val="nil"/>
          <w:right w:val="nil"/>
          <w:between w:val="nil"/>
        </w:pBdr>
        <w:spacing w:after="0" w:line="240" w:lineRule="auto"/>
        <w:rPr>
          <w:color w:val="000000"/>
          <w:highlight w:val="white"/>
        </w:rPr>
      </w:pPr>
      <w:r>
        <w:rPr>
          <w:color w:val="000000"/>
          <w:highlight w:val="white"/>
        </w:rPr>
        <w:t>CV</w:t>
      </w:r>
    </w:p>
    <w:p w14:paraId="5FFB6251" w14:textId="598C3A0D" w:rsidR="002C6FAA" w:rsidRDefault="002C6FAA">
      <w:pPr>
        <w:numPr>
          <w:ilvl w:val="0"/>
          <w:numId w:val="3"/>
        </w:numPr>
        <w:pBdr>
          <w:top w:val="nil"/>
          <w:left w:val="nil"/>
          <w:bottom w:val="nil"/>
          <w:right w:val="nil"/>
          <w:between w:val="nil"/>
        </w:pBdr>
        <w:spacing w:after="0" w:line="240" w:lineRule="auto"/>
        <w:rPr>
          <w:color w:val="000000"/>
          <w:highlight w:val="white"/>
        </w:rPr>
      </w:pPr>
      <w:r>
        <w:rPr>
          <w:color w:val="000000"/>
          <w:highlight w:val="white"/>
        </w:rPr>
        <w:t>Oferta Financiare</w:t>
      </w:r>
    </w:p>
    <w:p w14:paraId="3A4D0694" w14:textId="77777777" w:rsidR="00567DB1" w:rsidRDefault="00567DB1">
      <w:pPr>
        <w:spacing w:after="0" w:line="240" w:lineRule="auto"/>
        <w:rPr>
          <w:color w:val="000000"/>
          <w:highlight w:val="white"/>
        </w:rPr>
      </w:pPr>
    </w:p>
    <w:p w14:paraId="38023455" w14:textId="77777777" w:rsidR="00567DB1" w:rsidRDefault="002177EC">
      <w:pPr>
        <w:numPr>
          <w:ilvl w:val="0"/>
          <w:numId w:val="1"/>
        </w:numPr>
        <w:pBdr>
          <w:top w:val="nil"/>
          <w:left w:val="nil"/>
          <w:bottom w:val="nil"/>
          <w:right w:val="nil"/>
          <w:between w:val="nil"/>
        </w:pBdr>
        <w:spacing w:after="0"/>
        <w:jc w:val="both"/>
        <w:rPr>
          <w:b/>
          <w:color w:val="000000"/>
        </w:rPr>
      </w:pPr>
      <w:r>
        <w:rPr>
          <w:b/>
          <w:color w:val="000000"/>
        </w:rPr>
        <w:t xml:space="preserve">  </w:t>
      </w:r>
      <w:r>
        <w:rPr>
          <w:b/>
          <w:color w:val="000000"/>
          <w:highlight w:val="white"/>
        </w:rPr>
        <w:t>Kushtet e rimbur</w:t>
      </w:r>
      <w:r>
        <w:rPr>
          <w:b/>
          <w:color w:val="000000"/>
        </w:rPr>
        <w:t>ë</w:t>
      </w:r>
      <w:r>
        <w:rPr>
          <w:b/>
          <w:color w:val="000000"/>
          <w:highlight w:val="white"/>
        </w:rPr>
        <w:t>simit</w:t>
      </w:r>
    </w:p>
    <w:p w14:paraId="479E6F2E" w14:textId="77777777" w:rsidR="00567DB1" w:rsidRDefault="00567DB1">
      <w:pPr>
        <w:pBdr>
          <w:top w:val="nil"/>
          <w:left w:val="nil"/>
          <w:bottom w:val="nil"/>
          <w:right w:val="nil"/>
          <w:between w:val="nil"/>
        </w:pBdr>
        <w:spacing w:after="0"/>
        <w:ind w:left="720"/>
        <w:jc w:val="both"/>
        <w:rPr>
          <w:color w:val="000000"/>
          <w:highlight w:val="white"/>
        </w:rPr>
      </w:pPr>
    </w:p>
    <w:p w14:paraId="241C0A6F" w14:textId="407EEBE9" w:rsidR="00567DB1" w:rsidRDefault="002177EC">
      <w:pPr>
        <w:pBdr>
          <w:top w:val="nil"/>
          <w:left w:val="nil"/>
          <w:bottom w:val="nil"/>
          <w:right w:val="nil"/>
          <w:between w:val="nil"/>
        </w:pBdr>
        <w:spacing w:after="0"/>
        <w:jc w:val="both"/>
        <w:rPr>
          <w:color w:val="000000"/>
        </w:rPr>
      </w:pPr>
      <w:bookmarkStart w:id="10" w:name="_heading=h.7rk2dwz36wfb" w:colFirst="0" w:colLast="0"/>
      <w:bookmarkEnd w:id="10"/>
      <w:r>
        <w:t>Rimbursimi për angazhimin si mentor në Code4Kamenica Online Hackathon</w:t>
      </w:r>
      <w:r w:rsidR="008354B0">
        <w:t xml:space="preserve"> </w:t>
      </w:r>
      <w:r>
        <w:t>do të bëhet pas përfundimit të eventit</w:t>
      </w:r>
      <w:r w:rsidR="008354B0">
        <w:t xml:space="preserve"> përmes bankës</w:t>
      </w:r>
      <w:r>
        <w:t xml:space="preserve">. </w:t>
      </w:r>
    </w:p>
    <w:p w14:paraId="62C90C2E" w14:textId="77777777" w:rsidR="00567DB1" w:rsidRDefault="00567DB1">
      <w:pPr>
        <w:pBdr>
          <w:top w:val="nil"/>
          <w:left w:val="nil"/>
          <w:bottom w:val="nil"/>
          <w:right w:val="nil"/>
          <w:between w:val="nil"/>
        </w:pBdr>
        <w:spacing w:after="0" w:line="240" w:lineRule="auto"/>
        <w:rPr>
          <w:color w:val="000000"/>
        </w:rPr>
      </w:pPr>
    </w:p>
    <w:sectPr w:rsidR="00567DB1">
      <w:headerReference w:type="default" r:id="rId10"/>
      <w:footerReference w:type="default" r:id="rId11"/>
      <w:headerReference w:type="first" r:id="rId12"/>
      <w:footerReference w:type="first" r:id="rId13"/>
      <w:pgSz w:w="11906" w:h="16838"/>
      <w:pgMar w:top="1135"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EAB8" w14:textId="77777777" w:rsidR="00AA4C26" w:rsidRDefault="00AA4C26">
      <w:pPr>
        <w:spacing w:after="0" w:line="240" w:lineRule="auto"/>
      </w:pPr>
      <w:r>
        <w:separator/>
      </w:r>
    </w:p>
  </w:endnote>
  <w:endnote w:type="continuationSeparator" w:id="0">
    <w:p w14:paraId="1BA9FB0A" w14:textId="77777777" w:rsidR="00AA4C26" w:rsidRDefault="00AA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01E2" w14:textId="77777777" w:rsidR="00567DB1" w:rsidRDefault="00567DB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B080" w14:textId="77777777" w:rsidR="00567DB1" w:rsidRDefault="002177EC">
    <w:pPr>
      <w:jc w:val="center"/>
      <w:rPr>
        <w:i/>
        <w:color w:val="4472C4"/>
        <w:sz w:val="20"/>
        <w:szCs w:val="20"/>
      </w:rPr>
    </w:pPr>
    <w:r>
      <w:rPr>
        <w:i/>
        <w:color w:val="4472C4"/>
        <w:sz w:val="20"/>
        <w:szCs w:val="20"/>
      </w:rPr>
      <w:t>Programi Rajonal mbi Demokracinë Lokale në Ballkanin Perëndimor financohet nga Bashkimi Evropian dhe zbatohet nga Programi i Kombeve të Bashkuara për Zhvillim (UNDP).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7468" w14:textId="77777777" w:rsidR="00AA4C26" w:rsidRDefault="00AA4C26">
      <w:pPr>
        <w:spacing w:after="0" w:line="240" w:lineRule="auto"/>
      </w:pPr>
      <w:r>
        <w:separator/>
      </w:r>
    </w:p>
  </w:footnote>
  <w:footnote w:type="continuationSeparator" w:id="0">
    <w:p w14:paraId="08A4A7DB" w14:textId="77777777" w:rsidR="00AA4C26" w:rsidRDefault="00AA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5732" w14:textId="77777777" w:rsidR="00567DB1" w:rsidRDefault="00567DB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DE29" w14:textId="77777777" w:rsidR="00567DB1" w:rsidRDefault="002177EC">
    <w:pPr>
      <w:pBdr>
        <w:top w:val="nil"/>
        <w:left w:val="nil"/>
        <w:bottom w:val="nil"/>
        <w:right w:val="nil"/>
        <w:between w:val="nil"/>
      </w:pBdr>
      <w:tabs>
        <w:tab w:val="center" w:pos="4680"/>
        <w:tab w:val="right" w:pos="9360"/>
        <w:tab w:val="left" w:pos="1065"/>
      </w:tabs>
      <w:spacing w:after="0" w:line="240" w:lineRule="auto"/>
      <w:rPr>
        <w:color w:val="000000"/>
      </w:rPr>
    </w:pPr>
    <w:r>
      <w:rPr>
        <w:color w:val="000000"/>
      </w:rPr>
      <w:tab/>
    </w:r>
  </w:p>
  <w:p w14:paraId="09539766" w14:textId="77777777" w:rsidR="00567DB1" w:rsidRDefault="002177EC">
    <w:pPr>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36BC7884" wp14:editId="776836A4">
          <wp:simplePos x="0" y="0"/>
          <wp:positionH relativeFrom="column">
            <wp:posOffset>5548630</wp:posOffset>
          </wp:positionH>
          <wp:positionV relativeFrom="paragraph">
            <wp:posOffset>26035</wp:posOffset>
          </wp:positionV>
          <wp:extent cx="571500" cy="1190625"/>
          <wp:effectExtent l="0" t="0" r="0" b="0"/>
          <wp:wrapSquare wrapText="bothSides" distT="0" distB="0" distL="0" distR="0"/>
          <wp:docPr id="19" name="image3.jpg" descr="UNDP_memo_logo1"/>
          <wp:cNvGraphicFramePr/>
          <a:graphic xmlns:a="http://schemas.openxmlformats.org/drawingml/2006/main">
            <a:graphicData uri="http://schemas.openxmlformats.org/drawingml/2006/picture">
              <pic:pic xmlns:pic="http://schemas.openxmlformats.org/drawingml/2006/picture">
                <pic:nvPicPr>
                  <pic:cNvPr id="0" name="image3.jpg" descr="UNDP_memo_logo1"/>
                  <pic:cNvPicPr preferRelativeResize="0"/>
                </pic:nvPicPr>
                <pic:blipFill>
                  <a:blip r:embed="rId1"/>
                  <a:srcRect/>
                  <a:stretch>
                    <a:fillRect/>
                  </a:stretch>
                </pic:blipFill>
                <pic:spPr>
                  <a:xfrm>
                    <a:off x="0" y="0"/>
                    <a:ext cx="571500" cy="1190625"/>
                  </a:xfrm>
                  <a:prstGeom prst="rect">
                    <a:avLst/>
                  </a:prstGeom>
                  <a:ln/>
                </pic:spPr>
              </pic:pic>
            </a:graphicData>
          </a:graphic>
        </wp:anchor>
      </w:drawing>
    </w:r>
    <w:r>
      <w:rPr>
        <w:noProof/>
      </w:rPr>
      <w:drawing>
        <wp:anchor distT="0" distB="0" distL="0" distR="0" simplePos="0" relativeHeight="251659264" behindDoc="0" locked="0" layoutInCell="1" hidden="0" allowOverlap="1" wp14:anchorId="740537D9" wp14:editId="073C6CDB">
          <wp:simplePos x="0" y="0"/>
          <wp:positionH relativeFrom="column">
            <wp:posOffset>2746375</wp:posOffset>
          </wp:positionH>
          <wp:positionV relativeFrom="paragraph">
            <wp:posOffset>124460</wp:posOffset>
          </wp:positionV>
          <wp:extent cx="1476375" cy="930988"/>
          <wp:effectExtent l="0" t="0" r="0" b="0"/>
          <wp:wrapSquare wrapText="bothSides" distT="0" distB="0" distL="0" distR="0"/>
          <wp:docPr id="20" name="image4.jpg" descr="C:\Users\urim.thaqi\AppData\Local\Microsoft\Windows\INetCache\Content.Word\Logo E jkOMUNES.JPG"/>
          <wp:cNvGraphicFramePr/>
          <a:graphic xmlns:a="http://schemas.openxmlformats.org/drawingml/2006/main">
            <a:graphicData uri="http://schemas.openxmlformats.org/drawingml/2006/picture">
              <pic:pic xmlns:pic="http://schemas.openxmlformats.org/drawingml/2006/picture">
                <pic:nvPicPr>
                  <pic:cNvPr id="0" name="image4.jpg" descr="C:\Users\urim.thaqi\AppData\Local\Microsoft\Windows\INetCache\Content.Word\Logo E jkOMUNES.JPG"/>
                  <pic:cNvPicPr preferRelativeResize="0"/>
                </pic:nvPicPr>
                <pic:blipFill>
                  <a:blip r:embed="rId2"/>
                  <a:srcRect/>
                  <a:stretch>
                    <a:fillRect/>
                  </a:stretch>
                </pic:blipFill>
                <pic:spPr>
                  <a:xfrm>
                    <a:off x="0" y="0"/>
                    <a:ext cx="1476375" cy="930988"/>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428CC20" wp14:editId="1C2BB4CE">
          <wp:simplePos x="0" y="0"/>
          <wp:positionH relativeFrom="column">
            <wp:posOffset>80011</wp:posOffset>
          </wp:positionH>
          <wp:positionV relativeFrom="paragraph">
            <wp:posOffset>142875</wp:posOffset>
          </wp:positionV>
          <wp:extent cx="2244725" cy="581025"/>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244725" cy="581025"/>
                  </a:xfrm>
                  <a:prstGeom prst="rect">
                    <a:avLst/>
                  </a:prstGeom>
                  <a:ln/>
                </pic:spPr>
              </pic:pic>
            </a:graphicData>
          </a:graphic>
        </wp:anchor>
      </w:drawing>
    </w:r>
  </w:p>
  <w:p w14:paraId="66E3E8FD" w14:textId="77777777" w:rsidR="00567DB1" w:rsidRDefault="002177EC">
    <w:pPr>
      <w:pBdr>
        <w:top w:val="nil"/>
        <w:left w:val="nil"/>
        <w:bottom w:val="nil"/>
        <w:right w:val="nil"/>
        <w:between w:val="nil"/>
      </w:pBdr>
      <w:tabs>
        <w:tab w:val="center" w:pos="4680"/>
        <w:tab w:val="right" w:pos="9360"/>
        <w:tab w:val="left" w:pos="1065"/>
      </w:tabs>
      <w:spacing w:after="0" w:line="240" w:lineRule="auto"/>
      <w:rPr>
        <w:color w:val="000000"/>
      </w:rPr>
    </w:pPr>
    <w:r>
      <w:rPr>
        <w:color w:val="000000"/>
      </w:rPr>
      <w:tab/>
    </w:r>
  </w:p>
  <w:p w14:paraId="506E0FF2" w14:textId="77777777" w:rsidR="00567DB1" w:rsidRDefault="00567DB1">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C17"/>
    <w:multiLevelType w:val="multilevel"/>
    <w:tmpl w:val="9C9E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3D18BD"/>
    <w:multiLevelType w:val="multilevel"/>
    <w:tmpl w:val="760E78AC"/>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BB83DDF"/>
    <w:multiLevelType w:val="multilevel"/>
    <w:tmpl w:val="A20ADB1C"/>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FD14158"/>
    <w:multiLevelType w:val="multilevel"/>
    <w:tmpl w:val="109C8F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B1"/>
    <w:rsid w:val="002177EC"/>
    <w:rsid w:val="002C6FAA"/>
    <w:rsid w:val="00395B35"/>
    <w:rsid w:val="00567DB1"/>
    <w:rsid w:val="008354B0"/>
    <w:rsid w:val="009974F3"/>
    <w:rsid w:val="00AA4C26"/>
    <w:rsid w:val="00CB660B"/>
    <w:rsid w:val="00EC5DC7"/>
    <w:rsid w:val="00FC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66CA"/>
  <w15:docId w15:val="{E1145419-5E21-48FD-AD85-93592889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q-A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ind w:left="720" w:hanging="360"/>
      <w:jc w:val="both"/>
      <w:outlineLvl w:val="0"/>
    </w:pPr>
    <w:rPr>
      <w:b/>
      <w:sz w:val="24"/>
      <w:szCs w:val="24"/>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50C8"/>
    <w:pPr>
      <w:ind w:left="720"/>
      <w:contextualSpacing/>
    </w:pPr>
  </w:style>
  <w:style w:type="character" w:styleId="CommentReference">
    <w:name w:val="annotation reference"/>
    <w:basedOn w:val="DefaultParagraphFont"/>
    <w:uiPriority w:val="99"/>
    <w:semiHidden/>
    <w:unhideWhenUsed/>
    <w:rsid w:val="00355AE1"/>
    <w:rPr>
      <w:sz w:val="16"/>
      <w:szCs w:val="16"/>
    </w:rPr>
  </w:style>
  <w:style w:type="paragraph" w:styleId="CommentText">
    <w:name w:val="annotation text"/>
    <w:basedOn w:val="Normal"/>
    <w:link w:val="CommentTextChar"/>
    <w:uiPriority w:val="99"/>
    <w:semiHidden/>
    <w:unhideWhenUsed/>
    <w:rsid w:val="00355AE1"/>
    <w:pPr>
      <w:spacing w:line="240" w:lineRule="auto"/>
    </w:pPr>
    <w:rPr>
      <w:sz w:val="20"/>
      <w:szCs w:val="20"/>
    </w:rPr>
  </w:style>
  <w:style w:type="character" w:customStyle="1" w:styleId="CommentTextChar">
    <w:name w:val="Comment Text Char"/>
    <w:basedOn w:val="DefaultParagraphFont"/>
    <w:link w:val="CommentText"/>
    <w:uiPriority w:val="99"/>
    <w:semiHidden/>
    <w:rsid w:val="00355AE1"/>
    <w:rPr>
      <w:sz w:val="20"/>
      <w:szCs w:val="20"/>
    </w:rPr>
  </w:style>
  <w:style w:type="paragraph" w:styleId="CommentSubject">
    <w:name w:val="annotation subject"/>
    <w:basedOn w:val="CommentText"/>
    <w:next w:val="CommentText"/>
    <w:link w:val="CommentSubjectChar"/>
    <w:uiPriority w:val="99"/>
    <w:semiHidden/>
    <w:unhideWhenUsed/>
    <w:rsid w:val="00355AE1"/>
    <w:rPr>
      <w:b/>
      <w:bCs/>
    </w:rPr>
  </w:style>
  <w:style w:type="character" w:customStyle="1" w:styleId="CommentSubjectChar">
    <w:name w:val="Comment Subject Char"/>
    <w:basedOn w:val="CommentTextChar"/>
    <w:link w:val="CommentSubject"/>
    <w:uiPriority w:val="99"/>
    <w:semiHidden/>
    <w:rsid w:val="00355AE1"/>
    <w:rPr>
      <w:b/>
      <w:bCs/>
      <w:sz w:val="20"/>
      <w:szCs w:val="20"/>
    </w:rPr>
  </w:style>
  <w:style w:type="paragraph" w:styleId="BalloonText">
    <w:name w:val="Balloon Text"/>
    <w:basedOn w:val="Normal"/>
    <w:link w:val="BalloonTextChar"/>
    <w:uiPriority w:val="99"/>
    <w:semiHidden/>
    <w:unhideWhenUsed/>
    <w:rsid w:val="00355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E1"/>
    <w:rPr>
      <w:rFonts w:ascii="Segoe UI" w:hAnsi="Segoe UI" w:cs="Segoe UI"/>
      <w:sz w:val="18"/>
      <w:szCs w:val="18"/>
    </w:rPr>
  </w:style>
  <w:style w:type="paragraph" w:styleId="Revision">
    <w:name w:val="Revision"/>
    <w:hidden/>
    <w:uiPriority w:val="99"/>
    <w:semiHidden/>
    <w:rsid w:val="005E2A14"/>
    <w:pPr>
      <w:spacing w:after="0" w:line="240" w:lineRule="auto"/>
    </w:pPr>
  </w:style>
  <w:style w:type="paragraph" w:styleId="Header">
    <w:name w:val="header"/>
    <w:basedOn w:val="Normal"/>
    <w:link w:val="HeaderChar"/>
    <w:uiPriority w:val="99"/>
    <w:unhideWhenUsed/>
    <w:rsid w:val="00725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A46"/>
  </w:style>
  <w:style w:type="paragraph" w:styleId="Footer">
    <w:name w:val="footer"/>
    <w:basedOn w:val="Normal"/>
    <w:link w:val="FooterChar"/>
    <w:uiPriority w:val="99"/>
    <w:unhideWhenUsed/>
    <w:rsid w:val="00725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f.org.pl/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OkZUilg2i5wTC0Ui49QmGUEDnw==">AMUW2mXOHBMVhRg7NwO6Z+POlc1MfRLaZeUzMkPON2IvF1K8Ov4XqNqUhg3z5+um+9sSYRU8RbG/snaJ7dOeIPhyDeuNW/SzxrDoO/6WcUGlogb2El5nZXsx7iaxT+kzUUAc7nBOidkgKdfBPl7bl2m/FRepRlx57fadmWu5QZZaSlMC20bN4zlOiZIUjYHYsO8eOxyM1eI3aEpsn/4WJWQn/qSd0GwmKGPDxnxp4/gbG5eK4QUUHKKssGhKCNS07PDzibVkv//HExrhUM0eWilyryrU1NDa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 Raifi</dc:creator>
  <cp:lastModifiedBy>Majlinda Dervishi</cp:lastModifiedBy>
  <cp:revision>6</cp:revision>
  <dcterms:created xsi:type="dcterms:W3CDTF">2020-05-12T13:07:00Z</dcterms:created>
  <dcterms:modified xsi:type="dcterms:W3CDTF">2020-05-26T07:16:00Z</dcterms:modified>
</cp:coreProperties>
</file>